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53" w:rsidRDefault="009C5353" w:rsidP="009C5353">
      <w:pPr>
        <w:pStyle w:val="msonormalmailrucssattributepostfix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Кадастровые номера ЗУ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мкр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Александровский: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град.зоне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Ж2 (МЖД до 5 этажей)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18:26:040389:224 (290 378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град.зоне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Ж1 (МЖД 5-9 этажей и выше)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18:26:040389:225 (332 151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град.зоне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ЖД1 (многофункциональная жилая и общественно-деловая застройка)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18:26:040389:314 (32 290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18:26:040389:315 (18 126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18:26:040389:317 (37 314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18:26:040389:318 (14 377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18:26:040389:319 (47 630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18:26:040389:320 (3 361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18:26:040389:321 (45 751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град.зоне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Д1 (деловая застройка)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18:26:040389:227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град.зоне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ПД1 (многофункциональная производственная, коммунальная и общественно-деловая застройка)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18:26:040389:319 (4269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Участки с кадастровыми номерами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18:26:040389:316 (2 887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18:26:040389:223 (212 654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18:26:040389:228 (48 957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9C5353" w:rsidRDefault="009C5353" w:rsidP="009C535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согласно утвержденному Проекту планировки территории и Правилам землепользования и застройки г. Ижевска, являются территорией вне регламентов (через данные участки осуществляется общий доступ, проезд, проход к земельным участкам, расположенным в </w:t>
      </w:r>
      <w:r>
        <w:rPr>
          <w:rFonts w:ascii="Arial" w:hAnsi="Arial" w:cs="Arial"/>
          <w:color w:val="333333"/>
          <w:sz w:val="21"/>
          <w:szCs w:val="21"/>
        </w:rPr>
        <w:lastRenderedPageBreak/>
        <w:t>градостроительных зонах, предназначенных для различного рода строительства / размещения объектов капитального строительства).</w:t>
      </w:r>
    </w:p>
    <w:p w:rsidR="00A2450A" w:rsidRDefault="00ED6CDD"/>
    <w:sectPr w:rsidR="00A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3"/>
    <w:rsid w:val="00717206"/>
    <w:rsid w:val="009011EA"/>
    <w:rsid w:val="009C5353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06FD-0F06-46B2-9E91-987E152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C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Марат</dc:creator>
  <cp:keywords/>
  <dc:description/>
  <cp:lastModifiedBy>User</cp:lastModifiedBy>
  <cp:revision>2</cp:revision>
  <dcterms:created xsi:type="dcterms:W3CDTF">2019-02-26T09:42:00Z</dcterms:created>
  <dcterms:modified xsi:type="dcterms:W3CDTF">2019-02-26T09:42:00Z</dcterms:modified>
</cp:coreProperties>
</file>